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Social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Promotion of the Achieving Gender Equality by 2030: Putting Adolescents at the Center</w:t>
      </w:r>
    </w:p>
    <w:p w:rsidR="00000000" w:rsidDel="00000000" w:rsidP="00000000" w:rsidRDefault="00000000" w:rsidRPr="00000000" w14:paraId="00000002">
      <w:pPr>
        <w:spacing w:line="360" w:lineRule="auto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color w:val="00a1bc"/>
          <w:sz w:val="28"/>
          <w:szCs w:val="28"/>
          <w:highlight w:val="white"/>
          <w:u w:val="singl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Note: You can find visuals and a video to use in promotion of the report in the </w:t>
      </w:r>
      <w:hyperlink r:id="rId6">
        <w:r w:rsidDel="00000000" w:rsidR="00000000" w:rsidRPr="00000000">
          <w:rPr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toolkit</w:t>
        </w:r>
      </w:hyperlink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Relevant Handles and Hashtags: </w:t>
      </w:r>
    </w:p>
    <w:p w:rsidR="00000000" w:rsidDel="00000000" w:rsidP="00000000" w:rsidRDefault="00000000" w:rsidRPr="00000000" w14:paraId="00000006">
      <w:pPr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@geastudy</w:t>
      </w:r>
    </w:p>
    <w:p w:rsidR="00000000" w:rsidDel="00000000" w:rsidP="00000000" w:rsidRDefault="00000000" w:rsidRPr="00000000" w14:paraId="00000007">
      <w:pPr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#genderequality</w:t>
      </w:r>
    </w:p>
    <w:p w:rsidR="00000000" w:rsidDel="00000000" w:rsidP="00000000" w:rsidRDefault="00000000" w:rsidRPr="00000000" w14:paraId="00000008">
      <w:pPr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#genderinequality</w:t>
      </w:r>
    </w:p>
    <w:p w:rsidR="00000000" w:rsidDel="00000000" w:rsidP="00000000" w:rsidRDefault="00000000" w:rsidRPr="00000000" w14:paraId="00000009">
      <w:pPr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#SDG5 </w:t>
      </w:r>
    </w:p>
    <w:p w:rsidR="00000000" w:rsidDel="00000000" w:rsidP="00000000" w:rsidRDefault="00000000" w:rsidRPr="00000000" w14:paraId="0000000A">
      <w:pPr>
        <w:spacing w:after="300" w:line="36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  <w:t xml:space="preserve">#WD2019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Report and Commentary Social</w:t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Twitter</w:t>
      </w:r>
    </w:p>
    <w:p w:rsidR="00000000" w:rsidDel="00000000" w:rsidP="00000000" w:rsidRDefault="00000000" w:rsidRPr="00000000" w14:paraId="0000000E">
      <w:pPr>
        <w:spacing w:after="300" w:line="360" w:lineRule="auto"/>
        <w:rPr>
          <w:color w:val="1155cc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The world won’t be able to achieve #genderequality by focusing only on girls and women, according to a new report from the Bellagio Working Group on Gender Equality. Read the @geastudy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https://www.geastudy.org/new-blog/bellagioreport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fldChar w:fldCharType="begin"/>
        <w:instrText xml:space="preserve"> HYPERLINK "http://changelabsolutions.org/blueprint"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00" w:line="360" w:lineRule="auto"/>
        <w:rPr/>
      </w:pPr>
      <w:r w:rsidDel="00000000" w:rsidR="00000000" w:rsidRPr="00000000">
        <w:fldChar w:fldCharType="end"/>
      </w:r>
      <w:hyperlink r:id="rId8">
        <w:r w:rsidDel="00000000" w:rsidR="00000000" w:rsidRPr="00000000">
          <w:rPr>
            <w:highlight w:val="white"/>
            <w:rtl w:val="0"/>
          </w:rPr>
          <w:t xml:space="preserve">Boys have as equal a part to play as girls in achieving the @UN’s fifth Sustainable Development Goal (#SDG5), according to a new report from @geastudy. </w:t>
        </w:r>
      </w:hyperlink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https://www.geastudy.org/new-blog/bellagioreport</w:t>
        </w:r>
      </w:hyperlink>
      <w:hyperlink r:id="rId10">
        <w:r w:rsidDel="00000000" w:rsidR="00000000" w:rsidRPr="00000000">
          <w:rPr>
            <w:highlight w:val="white"/>
            <w:rtl w:val="0"/>
          </w:rPr>
          <w:t xml:space="preserve">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00" w:line="360" w:lineRule="auto"/>
        <w:rPr/>
      </w:pPr>
      <w:r w:rsidDel="00000000" w:rsidR="00000000" w:rsidRPr="00000000">
        <w:rPr>
          <w:rtl w:val="0"/>
        </w:rPr>
        <w:t xml:space="preserve">Addressing stereotypes and conditions that affect both girls AND boys much earlier in life is the key to achieving #genderequality and empowering all women and girls by 2030. Read the @geastudy report: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https://www.geastudy.org/new-blog/bellagioreport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300" w:line="360" w:lineRule="auto"/>
        <w:rPr/>
      </w:pPr>
      <w:r w:rsidDel="00000000" w:rsidR="00000000" w:rsidRPr="00000000">
        <w:rPr>
          <w:rtl w:val="0"/>
        </w:rPr>
        <w:t xml:space="preserve">Putting adolescents at the center is one key to achieving #SDG5 by 2030, according to a new @geastudy report.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https://www.geastudy.org/new-blog/bellagioreport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300" w:line="360" w:lineRule="auto"/>
        <w:rPr/>
      </w:pPr>
      <w:r w:rsidDel="00000000" w:rsidR="00000000" w:rsidRPr="00000000">
        <w:rPr>
          <w:rtl w:val="0"/>
        </w:rPr>
        <w:t xml:space="preserve">#Genderequality starts early: beginning </w:t>
      </w:r>
      <w:r w:rsidDel="00000000" w:rsidR="00000000" w:rsidRPr="00000000">
        <w:rPr>
          <w:rtl w:val="0"/>
        </w:rPr>
        <w:t xml:space="preserve">interventions in early adolescence can catalyze change in gendered attitudes, behaviors and norms, and improve health outcomes. </w:t>
      </w:r>
      <w:r w:rsidDel="00000000" w:rsidR="00000000" w:rsidRPr="00000000">
        <w:rPr>
          <w:rtl w:val="0"/>
        </w:rPr>
        <w:t xml:space="preserve">#WD2019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https://www.geastudy.org/new-blog/bellagioreport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fldChar w:fldCharType="begin"/>
        <w:instrText xml:space="preserve"> HYPERLINK "http://changelabsolutions.org/blueprint"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00" w:line="360" w:lineRule="auto"/>
        <w:rPr>
          <w:b w:val="1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highlight w:val="white"/>
          <w:rtl w:val="0"/>
        </w:rPr>
        <w:t xml:space="preserve">Facebook</w:t>
      </w:r>
    </w:p>
    <w:p w:rsidR="00000000" w:rsidDel="00000000" w:rsidP="00000000" w:rsidRDefault="00000000" w:rsidRPr="00000000" w14:paraId="00000014">
      <w:pPr>
        <w:spacing w:after="300" w:line="360" w:lineRule="auto"/>
        <w:rPr>
          <w:color w:val="1155cc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No matter who they are or where they live, gender stereotypes have lifelong negative consequences on all children. A new report, which is part of the Global Early Adolescent Study, a major collaboration of @WHO and </w:t>
      </w:r>
      <w:r w:rsidDel="00000000" w:rsidR="00000000" w:rsidRPr="00000000">
        <w:rPr>
          <w:highlight w:val="white"/>
          <w:rtl w:val="0"/>
        </w:rPr>
        <w:t xml:space="preserve">@JohnsHopkinsSPH</w:t>
      </w:r>
      <w:r w:rsidDel="00000000" w:rsidR="00000000" w:rsidRPr="00000000">
        <w:rPr>
          <w:highlight w:val="white"/>
          <w:rtl w:val="0"/>
        </w:rPr>
        <w:t xml:space="preserve">, finds the key to achieving #genderequality by 2030 is putting adolescents at the center and including boys and men.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https://www.geastudy.org/new-blog/bellagioreport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fldChar w:fldCharType="begin"/>
        <w:instrText xml:space="preserve"> HYPERLINK "http://changelabsolutions.org/blueprint"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0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highlight w:val="white"/>
          <w:rtl w:val="0"/>
        </w:rPr>
        <w:t xml:space="preserve">By focusing only on girls and women, the world won’t be able to achieve #genderequality by 2030. </w:t>
      </w:r>
      <w:r w:rsidDel="00000000" w:rsidR="00000000" w:rsidRPr="00000000">
        <w:rPr>
          <w:highlight w:val="white"/>
          <w:rtl w:val="0"/>
        </w:rPr>
        <w:t xml:space="preserve">That’s why the newest report from the Bellagio Working Group on Gender Equality argues for a broader set of indicators for tracking progress on achieving #SDG5 that includes boys and men and puts adolescents at the center.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https://www.geastudy.org/new-blog/bellagioreport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347788" cy="3952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395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38761d"/>
      <w:sz w:val="28"/>
      <w:szCs w:val="28"/>
      <w:u w:val="singl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eastudy.org/new-blog/bellagioreport" TargetMode="External"/><Relationship Id="rId10" Type="http://schemas.openxmlformats.org/officeDocument/2006/relationships/hyperlink" Target="http://changelabsolutions.org/blueprint" TargetMode="External"/><Relationship Id="rId13" Type="http://schemas.openxmlformats.org/officeDocument/2006/relationships/hyperlink" Target="https://www.geastudy.org/new-blog/bellagioreport" TargetMode="External"/><Relationship Id="rId12" Type="http://schemas.openxmlformats.org/officeDocument/2006/relationships/hyperlink" Target="https://www.geastudy.org/new-blog/bellagiorepor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eastudy.org/new-blog/bellagioreport" TargetMode="External"/><Relationship Id="rId15" Type="http://schemas.openxmlformats.org/officeDocument/2006/relationships/hyperlink" Target="https://www.geastudy.org/new-blog/bellagioreport" TargetMode="External"/><Relationship Id="rId14" Type="http://schemas.openxmlformats.org/officeDocument/2006/relationships/hyperlink" Target="https://www.geastudy.org/new-blog/bellagioreport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genderinequality.nptoolkit.org" TargetMode="External"/><Relationship Id="rId7" Type="http://schemas.openxmlformats.org/officeDocument/2006/relationships/hyperlink" Target="https://www.geastudy.org/new-blog/bellagioreport" TargetMode="External"/><Relationship Id="rId8" Type="http://schemas.openxmlformats.org/officeDocument/2006/relationships/hyperlink" Target="http://changelabsolutions.org/blueprin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