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8"/>
          <w:szCs w:val="28"/>
          <w:highlight w:val="white"/>
          <w:u w:val="single"/>
        </w:rPr>
      </w:pPr>
      <w:r w:rsidDel="00000000" w:rsidR="00000000" w:rsidRPr="00000000">
        <w:rPr>
          <w:b w:val="1"/>
          <w:sz w:val="28"/>
          <w:szCs w:val="28"/>
          <w:highlight w:val="white"/>
          <w:u w:val="single"/>
          <w:rtl w:val="0"/>
        </w:rPr>
        <w:t xml:space="preserve">Newsletter Promotion of the </w:t>
      </w:r>
      <w:r w:rsidDel="00000000" w:rsidR="00000000" w:rsidRPr="00000000">
        <w:rPr>
          <w:b w:val="1"/>
          <w:i w:val="1"/>
          <w:sz w:val="28"/>
          <w:szCs w:val="28"/>
          <w:highlight w:val="white"/>
          <w:u w:val="single"/>
          <w:rtl w:val="0"/>
        </w:rPr>
        <w:t xml:space="preserve">Achieving Gender Equality by 2030: Putting Adolescents at the Center</w:t>
      </w:r>
      <w:r w:rsidDel="00000000" w:rsidR="00000000" w:rsidRPr="00000000">
        <w:rPr>
          <w:b w:val="1"/>
          <w:sz w:val="28"/>
          <w:szCs w:val="28"/>
          <w:highlight w:val="white"/>
          <w:u w:val="single"/>
          <w:rtl w:val="0"/>
        </w:rPr>
        <w:t xml:space="preserve"> Report</w:t>
      </w:r>
      <w:r w:rsidDel="00000000" w:rsidR="00000000" w:rsidRPr="00000000">
        <w:rPr>
          <w:rtl w:val="0"/>
        </w:rPr>
      </w:r>
    </w:p>
    <w:p w:rsidR="00000000" w:rsidDel="00000000" w:rsidP="00000000" w:rsidRDefault="00000000" w:rsidRPr="00000000" w14:paraId="00000002">
      <w:pPr>
        <w:spacing w:line="360" w:lineRule="auto"/>
        <w:rPr>
          <w:i w:val="1"/>
          <w:sz w:val="24"/>
          <w:szCs w:val="24"/>
          <w:highlight w:val="white"/>
        </w:rPr>
      </w:pPr>
      <w:r w:rsidDel="00000000" w:rsidR="00000000" w:rsidRPr="00000000">
        <w:rPr>
          <w:rtl w:val="0"/>
        </w:rPr>
      </w:r>
    </w:p>
    <w:p w:rsidR="00000000" w:rsidDel="00000000" w:rsidP="00000000" w:rsidRDefault="00000000" w:rsidRPr="00000000" w14:paraId="00000003">
      <w:pPr>
        <w:spacing w:line="360" w:lineRule="auto"/>
        <w:rPr>
          <w:b w:val="1"/>
          <w:i w:val="1"/>
          <w:sz w:val="24"/>
          <w:szCs w:val="24"/>
          <w:highlight w:val="white"/>
        </w:rPr>
      </w:pPr>
      <w:r w:rsidDel="00000000" w:rsidR="00000000" w:rsidRPr="00000000">
        <w:rPr>
          <w:b w:val="1"/>
          <w:i w:val="1"/>
          <w:sz w:val="24"/>
          <w:szCs w:val="24"/>
          <w:highlight w:val="white"/>
          <w:rtl w:val="0"/>
        </w:rPr>
        <w:t xml:space="preserve">The following language can be modified as need to be used in newsletters:</w:t>
      </w:r>
    </w:p>
    <w:p w:rsidR="00000000" w:rsidDel="00000000" w:rsidP="00000000" w:rsidRDefault="00000000" w:rsidRPr="00000000" w14:paraId="00000004">
      <w:pPr>
        <w:spacing w:line="360" w:lineRule="auto"/>
        <w:rPr>
          <w:i w:val="1"/>
          <w:sz w:val="24"/>
          <w:szCs w:val="24"/>
          <w:highlight w:val="white"/>
        </w:rPr>
      </w:pPr>
      <w:r w:rsidDel="00000000" w:rsidR="00000000" w:rsidRPr="00000000">
        <w:rPr>
          <w:rtl w:val="0"/>
        </w:rPr>
      </w:r>
    </w:p>
    <w:p w:rsidR="00000000" w:rsidDel="00000000" w:rsidP="00000000" w:rsidRDefault="00000000" w:rsidRPr="00000000" w14:paraId="00000005">
      <w:pPr>
        <w:spacing w:line="360" w:lineRule="auto"/>
        <w:rPr>
          <w:b w:val="1"/>
          <w:i w:val="1"/>
          <w:sz w:val="24"/>
          <w:szCs w:val="24"/>
          <w:highlight w:val="white"/>
        </w:rPr>
      </w:pPr>
      <w:r w:rsidDel="00000000" w:rsidR="00000000" w:rsidRPr="00000000">
        <w:rPr>
          <w:i w:val="1"/>
          <w:sz w:val="24"/>
          <w:szCs w:val="24"/>
          <w:highlight w:val="white"/>
          <w:rtl w:val="0"/>
        </w:rPr>
        <w:t xml:space="preserve">Note: Visuals for promoting the report can be found in the </w:t>
      </w:r>
      <w:hyperlink r:id="rId6">
        <w:r w:rsidDel="00000000" w:rsidR="00000000" w:rsidRPr="00000000">
          <w:rPr>
            <w:i w:val="1"/>
            <w:color w:val="1155cc"/>
            <w:sz w:val="24"/>
            <w:szCs w:val="24"/>
            <w:highlight w:val="white"/>
            <w:u w:val="single"/>
            <w:rtl w:val="0"/>
          </w:rPr>
          <w:t xml:space="preserve">toolkit</w:t>
        </w:r>
      </w:hyperlink>
      <w:r w:rsidDel="00000000" w:rsidR="00000000" w:rsidRPr="00000000">
        <w:rPr>
          <w:i w:val="1"/>
          <w:sz w:val="24"/>
          <w:szCs w:val="24"/>
          <w:highlight w:val="white"/>
          <w:rtl w:val="0"/>
        </w:rPr>
        <w:t xml:space="preserve">.</w:t>
      </w:r>
      <w:r w:rsidDel="00000000" w:rsidR="00000000" w:rsidRPr="00000000">
        <w:rPr>
          <w:rtl w:val="0"/>
        </w:rPr>
      </w:r>
    </w:p>
    <w:p w:rsidR="00000000" w:rsidDel="00000000" w:rsidP="00000000" w:rsidRDefault="00000000" w:rsidRPr="00000000" w14:paraId="00000006">
      <w:pPr>
        <w:spacing w:line="360"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7">
      <w:pPr>
        <w:spacing w:line="360" w:lineRule="auto"/>
        <w:rPr>
          <w:highlight w:val="white"/>
        </w:rPr>
      </w:pPr>
      <w:r w:rsidDel="00000000" w:rsidR="00000000" w:rsidRPr="00000000">
        <w:rPr>
          <w:highlight w:val="white"/>
          <w:rtl w:val="0"/>
        </w:rPr>
        <w:t xml:space="preserve">The world won’t be able to achieve gender equality by focusing on girls and women alone and excluding boys and men, according to a new report from the Bellagio Working Group on Gender Equality.  </w:t>
      </w:r>
    </w:p>
    <w:p w:rsidR="00000000" w:rsidDel="00000000" w:rsidP="00000000" w:rsidRDefault="00000000" w:rsidRPr="00000000" w14:paraId="00000008">
      <w:pPr>
        <w:spacing w:line="360" w:lineRule="auto"/>
        <w:rPr>
          <w:highlight w:val="white"/>
        </w:rPr>
      </w:pPr>
      <w:r w:rsidDel="00000000" w:rsidR="00000000" w:rsidRPr="00000000">
        <w:rPr>
          <w:rtl w:val="0"/>
        </w:rPr>
      </w:r>
    </w:p>
    <w:p w:rsidR="00000000" w:rsidDel="00000000" w:rsidP="00000000" w:rsidRDefault="00000000" w:rsidRPr="00000000" w14:paraId="00000009">
      <w:pPr>
        <w:spacing w:line="360" w:lineRule="auto"/>
        <w:rPr>
          <w:highlight w:val="white"/>
        </w:rPr>
      </w:pPr>
      <w:hyperlink r:id="rId7">
        <w:r w:rsidDel="00000000" w:rsidR="00000000" w:rsidRPr="00000000">
          <w:rPr>
            <w:i w:val="1"/>
            <w:color w:val="1155cc"/>
            <w:highlight w:val="white"/>
            <w:u w:val="single"/>
            <w:rtl w:val="0"/>
          </w:rPr>
          <w:t xml:space="preserve">Achieving Gender Equality by 2030: Putting Adolescents at the Center</w:t>
        </w:r>
      </w:hyperlink>
      <w:r w:rsidDel="00000000" w:rsidR="00000000" w:rsidRPr="00000000">
        <w:rPr>
          <w:highlight w:val="white"/>
          <w:rtl w:val="0"/>
        </w:rPr>
        <w:t xml:space="preserve"> is based on an assessment of 22 experts from 15 countries, and finds that boys have as equal a part to play as girls in achieving the United Nation’s fifth Sustainable Development Goal (SDG5), which seeks to “achieve gender equality and empower all women and girls” by 2030. </w:t>
      </w:r>
    </w:p>
    <w:p w:rsidR="00000000" w:rsidDel="00000000" w:rsidP="00000000" w:rsidRDefault="00000000" w:rsidRPr="00000000" w14:paraId="0000000A">
      <w:pPr>
        <w:spacing w:line="360" w:lineRule="auto"/>
        <w:rPr>
          <w:highlight w:val="white"/>
        </w:rPr>
      </w:pPr>
      <w:r w:rsidDel="00000000" w:rsidR="00000000" w:rsidRPr="00000000">
        <w:rPr>
          <w:rtl w:val="0"/>
        </w:rPr>
      </w:r>
    </w:p>
    <w:p w:rsidR="00000000" w:rsidDel="00000000" w:rsidP="00000000" w:rsidRDefault="00000000" w:rsidRPr="00000000" w14:paraId="0000000B">
      <w:pPr>
        <w:spacing w:line="360" w:lineRule="auto"/>
        <w:rPr>
          <w:highlight w:val="white"/>
        </w:rPr>
      </w:pPr>
      <w:r w:rsidDel="00000000" w:rsidR="00000000" w:rsidRPr="00000000">
        <w:rPr>
          <w:highlight w:val="white"/>
          <w:rtl w:val="0"/>
        </w:rPr>
        <w:t xml:space="preserve">T</w:t>
      </w:r>
      <w:r w:rsidDel="00000000" w:rsidR="00000000" w:rsidRPr="00000000">
        <w:rPr>
          <w:highlight w:val="white"/>
          <w:rtl w:val="0"/>
        </w:rPr>
        <w:t xml:space="preserve">he key to achieving gender equality by 2030 involves addressing conditions and stereotypes that are harmful to both girls and boys—and to intervene much earlier by age 10 at the latest, according to a </w:t>
      </w:r>
      <w:hyperlink r:id="rId8">
        <w:r w:rsidDel="00000000" w:rsidR="00000000" w:rsidRPr="00000000">
          <w:rPr>
            <w:color w:val="1155cc"/>
            <w:highlight w:val="white"/>
            <w:u w:val="single"/>
            <w:rtl w:val="0"/>
          </w:rPr>
          <w:t xml:space="preserve">commentary</w:t>
        </w:r>
      </w:hyperlink>
      <w:hyperlink r:id="rId9">
        <w:r w:rsidDel="00000000" w:rsidR="00000000" w:rsidRPr="00000000">
          <w:rPr>
            <w:color w:val="1155cc"/>
            <w:highlight w:val="white"/>
            <w:rtl w:val="0"/>
          </w:rPr>
          <w:t xml:space="preserve"> </w:t>
        </w:r>
      </w:hyperlink>
      <w:r w:rsidDel="00000000" w:rsidR="00000000" w:rsidRPr="00000000">
        <w:rPr>
          <w:highlight w:val="white"/>
          <w:rtl w:val="0"/>
        </w:rPr>
        <w:t xml:space="preserve">published by the Bellagio Group in the</w:t>
      </w:r>
      <w:r w:rsidDel="00000000" w:rsidR="00000000" w:rsidRPr="00000000">
        <w:rPr>
          <w:highlight w:val="white"/>
          <w:rtl w:val="0"/>
        </w:rPr>
        <w:t xml:space="preserve"> </w:t>
      </w:r>
      <w:r w:rsidDel="00000000" w:rsidR="00000000" w:rsidRPr="00000000">
        <w:rPr>
          <w:i w:val="1"/>
          <w:highlight w:val="white"/>
          <w:rtl w:val="0"/>
        </w:rPr>
        <w:t xml:space="preserve">Journal of Adolescent Health. </w:t>
      </w:r>
      <w:r w:rsidDel="00000000" w:rsidR="00000000" w:rsidRPr="00000000">
        <w:rPr>
          <w:highlight w:val="white"/>
          <w:rtl w:val="0"/>
        </w:rPr>
        <w:t xml:space="preserve">Early adolescence is critical, the Bellagio Group asserts, because “gender norms, attitudes and beliefs appear to solidify by age 15 or 16.” </w:t>
      </w:r>
      <w:r w:rsidDel="00000000" w:rsidR="00000000" w:rsidRPr="00000000">
        <w:rPr>
          <w:rtl w:val="0"/>
        </w:rPr>
      </w:r>
    </w:p>
    <w:p w:rsidR="00000000" w:rsidDel="00000000" w:rsidP="00000000" w:rsidRDefault="00000000" w:rsidRPr="00000000" w14:paraId="0000000C">
      <w:pPr>
        <w:spacing w:line="360" w:lineRule="auto"/>
        <w:rPr>
          <w:highlight w:val="white"/>
        </w:rPr>
      </w:pPr>
      <w:r w:rsidDel="00000000" w:rsidR="00000000" w:rsidRPr="00000000">
        <w:rPr>
          <w:rtl w:val="0"/>
        </w:rPr>
      </w:r>
    </w:p>
    <w:p w:rsidR="00000000" w:rsidDel="00000000" w:rsidP="00000000" w:rsidRDefault="00000000" w:rsidRPr="00000000" w14:paraId="0000000D">
      <w:pPr>
        <w:spacing w:line="360" w:lineRule="auto"/>
        <w:rPr>
          <w:b w:val="1"/>
          <w:highlight w:val="white"/>
        </w:rPr>
      </w:pPr>
      <w:r w:rsidDel="00000000" w:rsidR="00000000" w:rsidRPr="00000000">
        <w:rPr>
          <w:highlight w:val="white"/>
          <w:rtl w:val="0"/>
        </w:rPr>
        <w:t xml:space="preserve">Find out more about the report, which is part of the Global Early Adolescent Study, a major collaboration of the World Health Organization and the Bloomberg School of Public Health here:</w:t>
      </w:r>
      <w:r w:rsidDel="00000000" w:rsidR="00000000" w:rsidRPr="00000000">
        <w:rPr>
          <w:highlight w:val="white"/>
          <w:rtl w:val="0"/>
        </w:rPr>
        <w:t xml:space="preserve"> </w:t>
      </w:r>
      <w:hyperlink r:id="rId10">
        <w:r w:rsidDel="00000000" w:rsidR="00000000" w:rsidRPr="00000000">
          <w:rPr>
            <w:color w:val="1155cc"/>
            <w:highlight w:val="white"/>
            <w:u w:val="single"/>
            <w:rtl w:val="0"/>
          </w:rPr>
          <w:t xml:space="preserve">https://www.geastudy.org/new-blog/bellagioreport</w:t>
        </w:r>
      </w:hyperlink>
      <w:r w:rsidDel="00000000" w:rsidR="00000000" w:rsidRPr="00000000">
        <w:rPr>
          <w:highlight w:val="white"/>
          <w:rtl w:val="0"/>
        </w:rPr>
        <w:t xml:space="preserve">. </w:t>
      </w:r>
      <w:r w:rsidDel="00000000" w:rsidR="00000000" w:rsidRPr="00000000">
        <w:rPr>
          <w:rtl w:val="0"/>
        </w:rPr>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pPr>
    <w:r w:rsidDel="00000000" w:rsidR="00000000" w:rsidRPr="00000000">
      <w:rPr/>
      <w:drawing>
        <wp:inline distB="114300" distT="114300" distL="114300" distR="114300">
          <wp:extent cx="1347788" cy="3952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7788" cy="39526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u w:val="single"/>
    </w:rPr>
  </w:style>
  <w:style w:type="paragraph" w:styleId="Heading2">
    <w:name w:val="heading 2"/>
    <w:basedOn w:val="Normal"/>
    <w:next w:val="Normal"/>
    <w:pPr>
      <w:keepNext w:val="1"/>
      <w:keepLines w:val="1"/>
    </w:pPr>
    <w:rPr>
      <w:b w:val="1"/>
      <w:i w:val="1"/>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line="240" w:lineRule="auto"/>
    </w:pPr>
    <w:rPr>
      <w:b w:val="1"/>
      <w:color w:val="38761d"/>
      <w:sz w:val="28"/>
      <w:szCs w:val="28"/>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eastudy.org/new-blog/bellagioreport" TargetMode="External"/><Relationship Id="rId9" Type="http://schemas.openxmlformats.org/officeDocument/2006/relationships/hyperlink" Target="https://www.jahonline.org/article/S1054-139X(19)30110-7/fulltext" TargetMode="External"/><Relationship Id="rId5" Type="http://schemas.openxmlformats.org/officeDocument/2006/relationships/styles" Target="styles.xml"/><Relationship Id="rId6" Type="http://schemas.openxmlformats.org/officeDocument/2006/relationships/hyperlink" Target="http://genderinequality.nptoolkit.org" TargetMode="External"/><Relationship Id="rId7" Type="http://schemas.openxmlformats.org/officeDocument/2006/relationships/hyperlink" Target="https://www.geastudy.org/s/Bellagio_Report_030419.pdf" TargetMode="External"/><Relationship Id="rId8" Type="http://schemas.openxmlformats.org/officeDocument/2006/relationships/hyperlink" Target="https://www.jahonline.org/article/S1054-139X(19)30110-7/full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